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AF" w:rsidRDefault="00EE5412" w:rsidP="00EE5412">
      <w:pPr>
        <w:spacing w:line="36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-310515</wp:posOffset>
            </wp:positionV>
            <wp:extent cx="6967855" cy="9812655"/>
            <wp:effectExtent l="0" t="0" r="0" b="0"/>
            <wp:wrapTight wrapText="bothSides">
              <wp:wrapPolygon edited="0">
                <wp:start x="0" y="0"/>
                <wp:lineTo x="0" y="21554"/>
                <wp:lineTo x="21555" y="21554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 059-1016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981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12" w:rsidRDefault="00EE5412" w:rsidP="00904BAF">
      <w:pPr>
        <w:spacing w:line="360" w:lineRule="auto"/>
        <w:ind w:right="200"/>
        <w:jc w:val="center"/>
        <w:rPr>
          <w:noProof/>
          <w:sz w:val="30"/>
          <w:szCs w:val="30"/>
        </w:rPr>
      </w:pPr>
    </w:p>
    <w:p w:rsidR="00EE5412" w:rsidRDefault="00EE5412" w:rsidP="00904BAF">
      <w:pPr>
        <w:spacing w:line="360" w:lineRule="auto"/>
        <w:ind w:right="200"/>
        <w:jc w:val="center"/>
        <w:rPr>
          <w:noProof/>
          <w:sz w:val="30"/>
          <w:szCs w:val="30"/>
        </w:rPr>
      </w:pPr>
    </w:p>
    <w:p w:rsidR="00904BAF" w:rsidRDefault="005C331F" w:rsidP="00904BAF">
      <w:pPr>
        <w:spacing w:line="360" w:lineRule="auto"/>
        <w:ind w:right="200"/>
        <w:jc w:val="center"/>
        <w:rPr>
          <w:noProof/>
          <w:sz w:val="30"/>
          <w:szCs w:val="30"/>
        </w:rPr>
      </w:pPr>
      <w:r>
        <w:rPr>
          <w:noProof/>
        </w:rPr>
        <w:pict>
          <v:rect id="Прямоугольник 1" o:spid="_x0000_s1026" style="position:absolute;left:0;text-align:left;margin-left:227.3pt;margin-top:28.05pt;width:36.5pt;height:1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" strokecolor="white" strokeweight="2pt"/>
        </w:pict>
      </w:r>
      <w:r w:rsidR="00904BAF">
        <w:rPr>
          <w:noProof/>
          <w:sz w:val="30"/>
          <w:szCs w:val="30"/>
        </w:rPr>
        <w:t>ОБОЗНАЧЕНИЯ И СОКРАЩЕНИЯ</w:t>
      </w:r>
    </w:p>
    <w:p w:rsidR="00904BAF" w:rsidRDefault="00904BAF" w:rsidP="00904BAF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АСЛ-О – антистрептолизин</w:t>
      </w:r>
      <w:proofErr w:type="gramStart"/>
      <w:r w:rsidR="000E668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</w:t>
      </w:r>
      <w:proofErr w:type="gramEnd"/>
    </w:p>
    <w:p w:rsidR="00904BAF" w:rsidRDefault="00904BAF" w:rsidP="00904BAF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КС – клапаны сердца</w:t>
      </w:r>
    </w:p>
    <w:p w:rsidR="00904BAF" w:rsidRDefault="00904BAF" w:rsidP="00904BAF">
      <w:pPr>
        <w:spacing w:line="360" w:lineRule="auto"/>
        <w:rPr>
          <w:bCs/>
          <w:sz w:val="30"/>
          <w:szCs w:val="30"/>
        </w:rPr>
      </w:pPr>
      <w:r>
        <w:rPr>
          <w:sz w:val="30"/>
          <w:szCs w:val="30"/>
        </w:rPr>
        <w:t>ЛС – лекарственные средства</w:t>
      </w:r>
      <w:bookmarkStart w:id="0" w:name="_GoBack"/>
      <w:bookmarkEnd w:id="0"/>
    </w:p>
    <w:p w:rsidR="00904BAF" w:rsidRDefault="00904BAF" w:rsidP="00904BAF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МНО - международное нормализованное отношение</w:t>
      </w:r>
    </w:p>
    <w:p w:rsidR="00904BAF" w:rsidRDefault="00904BAF" w:rsidP="00904BAF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НМГ - низкомолекулярные гепарины</w:t>
      </w:r>
    </w:p>
    <w:p w:rsidR="00904BAF" w:rsidRDefault="00904BAF" w:rsidP="00904BAF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НФГ - </w:t>
      </w:r>
      <w:proofErr w:type="spellStart"/>
      <w:r>
        <w:rPr>
          <w:sz w:val="30"/>
          <w:szCs w:val="30"/>
        </w:rPr>
        <w:t>нефракционированный</w:t>
      </w:r>
      <w:proofErr w:type="spellEnd"/>
      <w:r>
        <w:rPr>
          <w:sz w:val="30"/>
          <w:szCs w:val="30"/>
        </w:rPr>
        <w:t xml:space="preserve"> гепарин</w:t>
      </w:r>
    </w:p>
    <w:p w:rsidR="00904BAF" w:rsidRDefault="00904BAF" w:rsidP="00904BAF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ОАК – оральные антикоагулянты</w:t>
      </w:r>
    </w:p>
    <w:p w:rsidR="00904BAF" w:rsidRDefault="00904BAF" w:rsidP="00904BAF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ПСП – </w:t>
      </w:r>
      <w:proofErr w:type="spellStart"/>
      <w:r>
        <w:rPr>
          <w:bCs/>
          <w:sz w:val="30"/>
          <w:szCs w:val="30"/>
        </w:rPr>
        <w:t>пресепсин</w:t>
      </w:r>
      <w:proofErr w:type="spellEnd"/>
    </w:p>
    <w:p w:rsidR="00904BAF" w:rsidRDefault="00904BAF" w:rsidP="00904BAF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СРБ – </w:t>
      </w:r>
      <w:proofErr w:type="gramStart"/>
      <w:r>
        <w:rPr>
          <w:bCs/>
          <w:sz w:val="30"/>
          <w:szCs w:val="30"/>
        </w:rPr>
        <w:t>С-реактивный</w:t>
      </w:r>
      <w:proofErr w:type="gramEnd"/>
      <w:r>
        <w:rPr>
          <w:bCs/>
          <w:sz w:val="30"/>
          <w:szCs w:val="30"/>
        </w:rPr>
        <w:t xml:space="preserve"> белок</w:t>
      </w:r>
    </w:p>
    <w:p w:rsidR="00904BAF" w:rsidRDefault="00904BAF" w:rsidP="00904BAF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ХРБС – хроническая ревматическая болезнь сердца</w:t>
      </w:r>
    </w:p>
    <w:p w:rsidR="00904BAF" w:rsidRDefault="00904BAF" w:rsidP="00904BAF">
      <w:pPr>
        <w:pStyle w:val="a5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В инструкции по применению (далее – инструкция) изложен метод дифференцированного лечения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пациентов с хронической ревматической болезнью сердца (ХРБС) после хирургической операции протезирования клапанов сердца (КС), </w:t>
      </w:r>
      <w:r>
        <w:rPr>
          <w:color w:val="000000"/>
          <w:sz w:val="30"/>
          <w:szCs w:val="30"/>
        </w:rPr>
        <w:t>который может быть использован в комплексе медицинских услуг для пациентов с ХРБС. И</w:t>
      </w:r>
      <w:r>
        <w:rPr>
          <w:sz w:val="30"/>
          <w:szCs w:val="30"/>
        </w:rPr>
        <w:t>нструкция предназначена для врачей-кардиологов, врачей-терапевтов,</w:t>
      </w:r>
      <w:r>
        <w:rPr>
          <w:color w:val="000000"/>
          <w:sz w:val="30"/>
          <w:szCs w:val="30"/>
        </w:rPr>
        <w:t xml:space="preserve"> иных врачей-специалистов организаций здравоохранения, оказывающих медицинскую помощь пациентам с ХРБС. </w:t>
      </w:r>
    </w:p>
    <w:p w:rsidR="00904BAF" w:rsidRDefault="00904BAF" w:rsidP="00904BAF">
      <w:pPr>
        <w:pStyle w:val="a5"/>
        <w:ind w:firstLine="709"/>
        <w:jc w:val="both"/>
        <w:rPr>
          <w:sz w:val="30"/>
          <w:szCs w:val="30"/>
        </w:rPr>
      </w:pPr>
    </w:p>
    <w:p w:rsidR="00904BAF" w:rsidRDefault="00904BAF" w:rsidP="00904BAF">
      <w:pPr>
        <w:spacing w:line="360" w:lineRule="auto"/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 ПОКАЗАНИЯ К ПРИМЕНЕНИЮ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Хроническая ревматическая болезнь сердца после хирургической операции протезирования клапанов сердца, начиная с 1-го дня послеоперационного периода. </w:t>
      </w:r>
    </w:p>
    <w:p w:rsidR="00904BAF" w:rsidRDefault="00904BAF" w:rsidP="00904BAF">
      <w:pPr>
        <w:spacing w:line="360" w:lineRule="auto"/>
        <w:ind w:firstLine="720"/>
        <w:jc w:val="both"/>
        <w:rPr>
          <w:b/>
          <w:sz w:val="30"/>
          <w:szCs w:val="30"/>
        </w:rPr>
      </w:pPr>
    </w:p>
    <w:p w:rsidR="00904BAF" w:rsidRDefault="00904BAF" w:rsidP="00904BAF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2. ПРОТИВОПОКАЗАНИЯ К ПРИМЕНЕНИЮ</w:t>
      </w:r>
    </w:p>
    <w:p w:rsidR="00904BAF" w:rsidRDefault="00904BAF" w:rsidP="0090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Нет.</w:t>
      </w:r>
    </w:p>
    <w:p w:rsidR="00904BAF" w:rsidRDefault="00904BAF" w:rsidP="0090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0"/>
          <w:szCs w:val="30"/>
        </w:rPr>
      </w:pPr>
    </w:p>
    <w:p w:rsidR="00904BAF" w:rsidRDefault="00904BAF" w:rsidP="0090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30"/>
          <w:szCs w:val="30"/>
        </w:rPr>
      </w:pPr>
      <w:r>
        <w:rPr>
          <w:b/>
          <w:sz w:val="30"/>
          <w:szCs w:val="30"/>
        </w:rPr>
        <w:t xml:space="preserve">3. </w:t>
      </w:r>
      <w:r>
        <w:rPr>
          <w:b/>
          <w:bCs/>
          <w:color w:val="000000"/>
          <w:sz w:val="30"/>
          <w:szCs w:val="30"/>
        </w:rPr>
        <w:t>ПЕРЕЧЕНЬ НЕОБХОДИМЫХ МЕДИЦИНСКИХ ИЗДЕЛИЙ, МАТЕРИАЛОВ, ЛЕКАРСТВЕННЫХ СРЕДСТВ И Т.Д.</w:t>
      </w:r>
    </w:p>
    <w:p w:rsidR="00904BAF" w:rsidRDefault="00904BAF" w:rsidP="00904BAF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Реактивы для определения скорости оседания эритроцитов (СОЭ), определения </w:t>
      </w:r>
      <w:proofErr w:type="gramStart"/>
      <w:r>
        <w:rPr>
          <w:bCs/>
          <w:sz w:val="30"/>
          <w:szCs w:val="30"/>
        </w:rPr>
        <w:t>С-реактивного</w:t>
      </w:r>
      <w:proofErr w:type="gramEnd"/>
      <w:r>
        <w:rPr>
          <w:bCs/>
          <w:sz w:val="30"/>
          <w:szCs w:val="30"/>
        </w:rPr>
        <w:t xml:space="preserve"> белка (СРБ), </w:t>
      </w:r>
      <w:proofErr w:type="spellStart"/>
      <w:r>
        <w:rPr>
          <w:bCs/>
          <w:sz w:val="30"/>
          <w:szCs w:val="30"/>
        </w:rPr>
        <w:t>пресепсина</w:t>
      </w:r>
      <w:proofErr w:type="spellEnd"/>
      <w:r>
        <w:rPr>
          <w:bCs/>
          <w:sz w:val="30"/>
          <w:szCs w:val="30"/>
        </w:rPr>
        <w:t xml:space="preserve"> (ПСП), </w:t>
      </w:r>
      <w:proofErr w:type="spellStart"/>
      <w:r>
        <w:rPr>
          <w:bCs/>
          <w:sz w:val="30"/>
          <w:szCs w:val="30"/>
        </w:rPr>
        <w:t>антистрептолизина</w:t>
      </w:r>
      <w:proofErr w:type="spellEnd"/>
      <w:r>
        <w:rPr>
          <w:bCs/>
          <w:sz w:val="30"/>
          <w:szCs w:val="30"/>
        </w:rPr>
        <w:t xml:space="preserve">-О (АСЛ-О), компонентов системы комплемента; </w:t>
      </w:r>
    </w:p>
    <w:p w:rsidR="00904BAF" w:rsidRDefault="00904BAF" w:rsidP="00904BAF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эхокардиограф, оснащенный датчиком 2,5 МГц;</w:t>
      </w:r>
    </w:p>
    <w:p w:rsidR="00904BAF" w:rsidRDefault="00904BAF" w:rsidP="00904BA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30"/>
          <w:szCs w:val="30"/>
        </w:rPr>
      </w:pPr>
      <w:proofErr w:type="gramStart"/>
      <w:r>
        <w:rPr>
          <w:bCs/>
          <w:sz w:val="30"/>
          <w:szCs w:val="30"/>
        </w:rPr>
        <w:t>амоксициллин 500 мг/</w:t>
      </w:r>
      <w:proofErr w:type="spellStart"/>
      <w:r>
        <w:rPr>
          <w:bCs/>
          <w:sz w:val="30"/>
          <w:szCs w:val="30"/>
        </w:rPr>
        <w:t>клавулановая</w:t>
      </w:r>
      <w:proofErr w:type="spellEnd"/>
      <w:r>
        <w:rPr>
          <w:bCs/>
          <w:sz w:val="30"/>
          <w:szCs w:val="30"/>
        </w:rPr>
        <w:t xml:space="preserve"> кислота 125 мг, таблетки, покрытые плёночной оболочкой или амоксициллин 1000 мг/</w:t>
      </w:r>
      <w:proofErr w:type="spellStart"/>
      <w:r>
        <w:rPr>
          <w:bCs/>
          <w:sz w:val="30"/>
          <w:szCs w:val="30"/>
        </w:rPr>
        <w:t>клавулановая</w:t>
      </w:r>
      <w:proofErr w:type="spellEnd"/>
      <w:r>
        <w:rPr>
          <w:bCs/>
          <w:sz w:val="30"/>
          <w:szCs w:val="30"/>
        </w:rPr>
        <w:t xml:space="preserve"> кислота 200 мг, порошок для приготовления раствора для внутривенного введения или </w:t>
      </w:r>
      <w:proofErr w:type="spellStart"/>
      <w:r>
        <w:rPr>
          <w:sz w:val="30"/>
          <w:szCs w:val="30"/>
        </w:rPr>
        <w:t>цефуроксим</w:t>
      </w:r>
      <w:proofErr w:type="spellEnd"/>
      <w:r>
        <w:rPr>
          <w:sz w:val="30"/>
          <w:szCs w:val="30"/>
        </w:rPr>
        <w:t xml:space="preserve"> 750 мг, порошок для приготовления раствора для инъекций или </w:t>
      </w:r>
      <w:proofErr w:type="spellStart"/>
      <w:r>
        <w:rPr>
          <w:sz w:val="30"/>
          <w:szCs w:val="30"/>
        </w:rPr>
        <w:t>цефотаксим</w:t>
      </w:r>
      <w:proofErr w:type="spellEnd"/>
      <w:r>
        <w:rPr>
          <w:sz w:val="30"/>
          <w:szCs w:val="30"/>
        </w:rPr>
        <w:t xml:space="preserve">, порошок для </w:t>
      </w:r>
      <w:r>
        <w:rPr>
          <w:sz w:val="30"/>
          <w:szCs w:val="30"/>
        </w:rPr>
        <w:lastRenderedPageBreak/>
        <w:t xml:space="preserve">приготовления раствора для внутривенного и внутримышечного введения 1 г или </w:t>
      </w:r>
      <w:proofErr w:type="spellStart"/>
      <w:r>
        <w:rPr>
          <w:sz w:val="30"/>
          <w:szCs w:val="30"/>
        </w:rPr>
        <w:t>цефтриаксон</w:t>
      </w:r>
      <w:proofErr w:type="spellEnd"/>
      <w:r>
        <w:rPr>
          <w:sz w:val="30"/>
          <w:szCs w:val="30"/>
        </w:rPr>
        <w:t>, порошок для приготовления раствора для внутривенного и внутримышечного введения</w:t>
      </w:r>
      <w:proofErr w:type="gramEnd"/>
      <w:r>
        <w:rPr>
          <w:sz w:val="30"/>
          <w:szCs w:val="30"/>
        </w:rPr>
        <w:t xml:space="preserve"> 1 г;</w:t>
      </w:r>
    </w:p>
    <w:p w:rsidR="00904BAF" w:rsidRDefault="00904BAF" w:rsidP="00904BAF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30"/>
          <w:szCs w:val="30"/>
        </w:rPr>
      </w:pPr>
      <w:proofErr w:type="spellStart"/>
      <w:r>
        <w:rPr>
          <w:sz w:val="30"/>
          <w:szCs w:val="30"/>
        </w:rPr>
        <w:t>клиндомицин</w:t>
      </w:r>
      <w:proofErr w:type="spellEnd"/>
      <w:r>
        <w:rPr>
          <w:sz w:val="30"/>
          <w:szCs w:val="30"/>
        </w:rPr>
        <w:t xml:space="preserve">, капсулы 150 мг или </w:t>
      </w:r>
      <w:proofErr w:type="spellStart"/>
      <w:r>
        <w:rPr>
          <w:sz w:val="30"/>
          <w:szCs w:val="30"/>
        </w:rPr>
        <w:t>клиндамицин</w:t>
      </w:r>
      <w:proofErr w:type="spellEnd"/>
      <w:r>
        <w:rPr>
          <w:sz w:val="30"/>
          <w:szCs w:val="30"/>
        </w:rPr>
        <w:t xml:space="preserve">, раствор для внутримышечного и внутривенного введения 150 мг/мл, или </w:t>
      </w:r>
      <w:proofErr w:type="spellStart"/>
      <w:r>
        <w:rPr>
          <w:sz w:val="30"/>
          <w:szCs w:val="30"/>
        </w:rPr>
        <w:t>линкомицина</w:t>
      </w:r>
      <w:proofErr w:type="spellEnd"/>
      <w:r>
        <w:rPr>
          <w:sz w:val="30"/>
          <w:szCs w:val="30"/>
        </w:rPr>
        <w:t xml:space="preserve"> гидрохлорид, капсулы 250 мг или </w:t>
      </w:r>
      <w:proofErr w:type="spellStart"/>
      <w:r>
        <w:rPr>
          <w:sz w:val="30"/>
          <w:szCs w:val="30"/>
        </w:rPr>
        <w:t>линкомицина</w:t>
      </w:r>
      <w:proofErr w:type="spellEnd"/>
      <w:r>
        <w:rPr>
          <w:sz w:val="30"/>
          <w:szCs w:val="30"/>
        </w:rPr>
        <w:t xml:space="preserve"> гидрохлорид, раствор для инъекций 300 мг/мл или </w:t>
      </w:r>
      <w:proofErr w:type="spellStart"/>
      <w:r>
        <w:rPr>
          <w:sz w:val="30"/>
          <w:szCs w:val="30"/>
        </w:rPr>
        <w:t>азитромицин</w:t>
      </w:r>
      <w:proofErr w:type="spellEnd"/>
      <w:r>
        <w:rPr>
          <w:sz w:val="30"/>
          <w:szCs w:val="30"/>
        </w:rPr>
        <w:t xml:space="preserve"> капсулы или таблетки, покрытые оболочкой по 250 мг или </w:t>
      </w:r>
      <w:proofErr w:type="spellStart"/>
      <w:r>
        <w:rPr>
          <w:sz w:val="30"/>
          <w:szCs w:val="30"/>
        </w:rPr>
        <w:t>кларитромицин</w:t>
      </w:r>
      <w:proofErr w:type="spellEnd"/>
      <w:r>
        <w:rPr>
          <w:sz w:val="30"/>
          <w:szCs w:val="30"/>
        </w:rPr>
        <w:t>, капсулы или таблетки, покрытые оболочкой по 250 мг.</w:t>
      </w:r>
    </w:p>
    <w:p w:rsidR="00904BAF" w:rsidRDefault="00904BAF" w:rsidP="00904BAF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30"/>
          <w:szCs w:val="30"/>
        </w:rPr>
      </w:pPr>
      <w:proofErr w:type="spellStart"/>
      <w:r>
        <w:rPr>
          <w:sz w:val="30"/>
          <w:szCs w:val="30"/>
        </w:rPr>
        <w:t>бензатина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бензилпенициллин</w:t>
      </w:r>
      <w:proofErr w:type="spellEnd"/>
      <w:r>
        <w:rPr>
          <w:sz w:val="30"/>
          <w:szCs w:val="30"/>
        </w:rPr>
        <w:t xml:space="preserve">+ </w:t>
      </w:r>
      <w:proofErr w:type="spellStart"/>
      <w:r>
        <w:rPr>
          <w:sz w:val="30"/>
          <w:szCs w:val="30"/>
        </w:rPr>
        <w:t>бензилпенициллин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прокаина</w:t>
      </w:r>
      <w:proofErr w:type="spellEnd"/>
      <w:r>
        <w:rPr>
          <w:sz w:val="30"/>
          <w:szCs w:val="30"/>
        </w:rPr>
        <w:t xml:space="preserve"> (бициллин-5) 1,5 млн. </w:t>
      </w:r>
      <w:proofErr w:type="gramStart"/>
      <w:r>
        <w:rPr>
          <w:sz w:val="30"/>
          <w:szCs w:val="30"/>
        </w:rPr>
        <w:t>ЕД</w:t>
      </w:r>
      <w:proofErr w:type="gramEnd"/>
      <w:r>
        <w:rPr>
          <w:sz w:val="30"/>
          <w:szCs w:val="30"/>
        </w:rPr>
        <w:t xml:space="preserve"> либо </w:t>
      </w:r>
      <w:proofErr w:type="spellStart"/>
      <w:r>
        <w:rPr>
          <w:sz w:val="30"/>
          <w:szCs w:val="30"/>
        </w:rPr>
        <w:t>бензатина</w:t>
      </w:r>
      <w:proofErr w:type="spellEnd"/>
      <w:r>
        <w:rPr>
          <w:sz w:val="30"/>
          <w:szCs w:val="30"/>
        </w:rPr>
        <w:t xml:space="preserve"> пенициллин 2,4 млн ЕД.</w:t>
      </w:r>
    </w:p>
    <w:p w:rsidR="00904BAF" w:rsidRDefault="00904BAF" w:rsidP="00904BAF">
      <w:pPr>
        <w:spacing w:line="360" w:lineRule="auto"/>
        <w:ind w:firstLine="709"/>
        <w:jc w:val="both"/>
        <w:rPr>
          <w:b/>
          <w:sz w:val="30"/>
          <w:szCs w:val="30"/>
        </w:rPr>
      </w:pPr>
    </w:p>
    <w:p w:rsidR="00904BAF" w:rsidRDefault="00904BAF" w:rsidP="00904BAF">
      <w:pPr>
        <w:spacing w:line="36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 ТЕХНОЛОГИЯ ИСПОЛЬЗОВАНИЯ МЕТОДА</w:t>
      </w:r>
    </w:p>
    <w:p w:rsidR="00904BAF" w:rsidRDefault="00385AD1" w:rsidP="00904BAF">
      <w:pPr>
        <w:spacing w:line="360" w:lineRule="auto"/>
        <w:ind w:firstLine="709"/>
        <w:jc w:val="both"/>
        <w:rPr>
          <w:sz w:val="30"/>
          <w:szCs w:val="30"/>
        </w:rPr>
      </w:pPr>
      <w:r w:rsidRPr="00385AD1">
        <w:rPr>
          <w:b/>
          <w:sz w:val="30"/>
          <w:szCs w:val="30"/>
        </w:rPr>
        <w:t>4.1</w:t>
      </w:r>
      <w:r>
        <w:rPr>
          <w:b/>
          <w:sz w:val="30"/>
          <w:szCs w:val="30"/>
        </w:rPr>
        <w:t>.</w:t>
      </w:r>
      <w:r w:rsidR="002F3378">
        <w:rPr>
          <w:sz w:val="30"/>
          <w:szCs w:val="30"/>
        </w:rPr>
        <w:t xml:space="preserve"> </w:t>
      </w:r>
      <w:r w:rsidR="00904BAF">
        <w:rPr>
          <w:sz w:val="30"/>
          <w:szCs w:val="30"/>
        </w:rPr>
        <w:t xml:space="preserve">При </w:t>
      </w:r>
      <w:r w:rsidR="00C034AA">
        <w:rPr>
          <w:sz w:val="30"/>
          <w:szCs w:val="30"/>
        </w:rPr>
        <w:t>наличии</w:t>
      </w:r>
      <w:r w:rsidR="00471169">
        <w:rPr>
          <w:sz w:val="30"/>
          <w:szCs w:val="30"/>
        </w:rPr>
        <w:t xml:space="preserve"> </w:t>
      </w:r>
      <w:r w:rsidR="00B3609F">
        <w:rPr>
          <w:sz w:val="30"/>
          <w:szCs w:val="30"/>
        </w:rPr>
        <w:t xml:space="preserve">у </w:t>
      </w:r>
      <w:r>
        <w:rPr>
          <w:sz w:val="30"/>
          <w:szCs w:val="30"/>
        </w:rPr>
        <w:t>пациента</w:t>
      </w:r>
      <w:r w:rsidR="00471169" w:rsidRPr="00471169">
        <w:rPr>
          <w:sz w:val="30"/>
          <w:szCs w:val="30"/>
        </w:rPr>
        <w:t xml:space="preserve"> с ХРБС после </w:t>
      </w:r>
      <w:r w:rsidR="00C034AA">
        <w:rPr>
          <w:sz w:val="30"/>
          <w:szCs w:val="30"/>
        </w:rPr>
        <w:t xml:space="preserve">хирургической операции протезирования </w:t>
      </w:r>
      <w:r w:rsidR="002F6DBB">
        <w:rPr>
          <w:sz w:val="30"/>
          <w:szCs w:val="30"/>
        </w:rPr>
        <w:t xml:space="preserve">митрального клапана </w:t>
      </w:r>
      <w:r w:rsidR="00471169">
        <w:rPr>
          <w:sz w:val="30"/>
          <w:szCs w:val="30"/>
        </w:rPr>
        <w:t>в послеоперационном периоде</w:t>
      </w:r>
      <w:r>
        <w:rPr>
          <w:sz w:val="30"/>
          <w:szCs w:val="30"/>
        </w:rPr>
        <w:t>:</w:t>
      </w:r>
      <w:r w:rsidR="006B70BD">
        <w:rPr>
          <w:sz w:val="30"/>
          <w:szCs w:val="30"/>
        </w:rPr>
        <w:t xml:space="preserve"> </w:t>
      </w:r>
      <w:r w:rsidR="00471169">
        <w:rPr>
          <w:sz w:val="30"/>
          <w:szCs w:val="30"/>
          <w:lang w:eastAsia="en-US"/>
        </w:rPr>
        <w:t xml:space="preserve">увеличения уровня ПСП </w:t>
      </w:r>
      <w:r w:rsidR="002F3378">
        <w:rPr>
          <w:sz w:val="30"/>
          <w:szCs w:val="30"/>
          <w:lang w:eastAsia="en-US"/>
        </w:rPr>
        <w:t xml:space="preserve">на 7-е сутки после операции </w:t>
      </w:r>
      <w:r w:rsidR="00471169">
        <w:rPr>
          <w:sz w:val="30"/>
          <w:szCs w:val="30"/>
          <w:lang w:eastAsia="en-US"/>
        </w:rPr>
        <w:t>более</w:t>
      </w:r>
      <w:proofErr w:type="gramStart"/>
      <w:r w:rsidR="00471169">
        <w:rPr>
          <w:sz w:val="30"/>
          <w:szCs w:val="30"/>
          <w:lang w:eastAsia="en-US"/>
        </w:rPr>
        <w:t>,</w:t>
      </w:r>
      <w:proofErr w:type="gramEnd"/>
      <w:r w:rsidR="00471169">
        <w:rPr>
          <w:sz w:val="30"/>
          <w:szCs w:val="30"/>
          <w:lang w:eastAsia="en-US"/>
        </w:rPr>
        <w:t xml:space="preserve"> чем в 1,5 раза в сравнении с уровнем, зарегистрированным за 1 сутки до операции, при одновременном превышении им верхней границы нормы; увеличения уровня АСЛ-О </w:t>
      </w:r>
      <w:r w:rsidR="002F3378">
        <w:rPr>
          <w:sz w:val="30"/>
          <w:szCs w:val="30"/>
          <w:lang w:eastAsia="en-US"/>
        </w:rPr>
        <w:t xml:space="preserve">на 14-е сутки после операции </w:t>
      </w:r>
      <w:r w:rsidR="00471169">
        <w:rPr>
          <w:sz w:val="30"/>
          <w:szCs w:val="30"/>
          <w:lang w:eastAsia="en-US"/>
        </w:rPr>
        <w:t xml:space="preserve">выше уровня, зарегистрированного за 1 сутки до операции, с одновременным превышением им верхней границы нормы; увеличения уровня С3 компонента системы комплемента </w:t>
      </w:r>
      <w:r w:rsidR="002F3378">
        <w:rPr>
          <w:sz w:val="30"/>
          <w:szCs w:val="30"/>
          <w:lang w:eastAsia="en-US"/>
        </w:rPr>
        <w:t xml:space="preserve">на 14-е сутки после операции </w:t>
      </w:r>
      <w:r>
        <w:rPr>
          <w:sz w:val="30"/>
          <w:szCs w:val="30"/>
          <w:lang w:eastAsia="en-US"/>
        </w:rPr>
        <w:t>выше нормы</w:t>
      </w:r>
      <w:r w:rsidR="006B70BD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>пациенту</w:t>
      </w:r>
      <w:r w:rsidR="00904BAF">
        <w:rPr>
          <w:sz w:val="30"/>
          <w:szCs w:val="30"/>
        </w:rPr>
        <w:t xml:space="preserve"> необходимо назначить </w:t>
      </w:r>
      <w:r>
        <w:rPr>
          <w:sz w:val="30"/>
          <w:szCs w:val="30"/>
        </w:rPr>
        <w:t xml:space="preserve">антибактериальные лекарственные средства (ЛС) - </w:t>
      </w:r>
      <w:proofErr w:type="spellStart"/>
      <w:r w:rsidR="00904BAF">
        <w:rPr>
          <w:sz w:val="30"/>
          <w:szCs w:val="30"/>
        </w:rPr>
        <w:t>ингибиторозащищённые</w:t>
      </w:r>
      <w:proofErr w:type="spellEnd"/>
      <w:r w:rsidR="00904BAF">
        <w:rPr>
          <w:sz w:val="30"/>
          <w:szCs w:val="30"/>
        </w:rPr>
        <w:t xml:space="preserve"> пенициллины либо цефалоспорины </w:t>
      </w:r>
      <w:r w:rsidR="00904BAF">
        <w:rPr>
          <w:sz w:val="30"/>
          <w:szCs w:val="30"/>
          <w:lang w:val="en-US"/>
        </w:rPr>
        <w:t>II</w:t>
      </w:r>
      <w:r w:rsidR="00904BAF">
        <w:rPr>
          <w:sz w:val="30"/>
          <w:szCs w:val="30"/>
        </w:rPr>
        <w:t>-</w:t>
      </w:r>
      <w:r w:rsidR="00904BAF">
        <w:rPr>
          <w:sz w:val="30"/>
          <w:szCs w:val="30"/>
          <w:lang w:val="en-US"/>
        </w:rPr>
        <w:t>III</w:t>
      </w:r>
      <w:r w:rsidR="00904BAF" w:rsidRPr="00904BAF">
        <w:rPr>
          <w:sz w:val="30"/>
          <w:szCs w:val="30"/>
        </w:rPr>
        <w:t xml:space="preserve"> </w:t>
      </w:r>
      <w:r w:rsidR="00904BAF">
        <w:rPr>
          <w:sz w:val="30"/>
          <w:szCs w:val="30"/>
        </w:rPr>
        <w:t xml:space="preserve">поколения, эффективные в отношении </w:t>
      </w:r>
      <w:proofErr w:type="gramStart"/>
      <w:r w:rsidR="00904BAF">
        <w:rPr>
          <w:sz w:val="30"/>
          <w:szCs w:val="30"/>
        </w:rPr>
        <w:t>ß-</w:t>
      </w:r>
      <w:proofErr w:type="gramEnd"/>
      <w:r w:rsidR="00904BAF">
        <w:rPr>
          <w:sz w:val="30"/>
          <w:szCs w:val="30"/>
        </w:rPr>
        <w:t>гемолитического стрептококка, длительностью не менее 10 дней:</w:t>
      </w:r>
    </w:p>
    <w:p w:rsidR="00904BAF" w:rsidRDefault="00E959DD" w:rsidP="00904BAF">
      <w:pPr>
        <w:pStyle w:val="a6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</w:t>
      </w:r>
      <w:r w:rsidR="00904BAF">
        <w:rPr>
          <w:sz w:val="30"/>
          <w:szCs w:val="30"/>
        </w:rPr>
        <w:t xml:space="preserve">моксициллин 1000 </w:t>
      </w:r>
      <w:proofErr w:type="spellStart"/>
      <w:r w:rsidR="00904BAF">
        <w:rPr>
          <w:sz w:val="30"/>
          <w:szCs w:val="30"/>
        </w:rPr>
        <w:t>мг+клавулановая</w:t>
      </w:r>
      <w:proofErr w:type="spellEnd"/>
      <w:r w:rsidR="00904BAF">
        <w:rPr>
          <w:sz w:val="30"/>
          <w:szCs w:val="30"/>
        </w:rPr>
        <w:t xml:space="preserve"> кислота 200 мг внутривенно </w:t>
      </w:r>
      <w:proofErr w:type="spellStart"/>
      <w:r w:rsidR="00904BAF">
        <w:rPr>
          <w:sz w:val="30"/>
          <w:szCs w:val="30"/>
        </w:rPr>
        <w:t>капельно</w:t>
      </w:r>
      <w:proofErr w:type="spellEnd"/>
      <w:r w:rsidR="00904BAF">
        <w:rPr>
          <w:sz w:val="30"/>
          <w:szCs w:val="30"/>
        </w:rPr>
        <w:t xml:space="preserve"> с интервалом 8 часов, либо амоксициллин 500 </w:t>
      </w:r>
      <w:proofErr w:type="spellStart"/>
      <w:r w:rsidR="00904BAF">
        <w:rPr>
          <w:sz w:val="30"/>
          <w:szCs w:val="30"/>
        </w:rPr>
        <w:t>мг+клавулановая</w:t>
      </w:r>
      <w:proofErr w:type="spellEnd"/>
      <w:r w:rsidR="00904BAF">
        <w:rPr>
          <w:sz w:val="30"/>
          <w:szCs w:val="30"/>
        </w:rPr>
        <w:t xml:space="preserve"> кислота 125 мг </w:t>
      </w:r>
      <w:r w:rsidR="00904BAF">
        <w:rPr>
          <w:sz w:val="30"/>
          <w:szCs w:val="30"/>
          <w:lang w:val="en-US"/>
        </w:rPr>
        <w:t>per</w:t>
      </w:r>
      <w:r w:rsidR="00904BAF" w:rsidRPr="00904BAF">
        <w:rPr>
          <w:sz w:val="30"/>
          <w:szCs w:val="30"/>
        </w:rPr>
        <w:t xml:space="preserve"> </w:t>
      </w:r>
      <w:proofErr w:type="spellStart"/>
      <w:r w:rsidR="00904BAF">
        <w:rPr>
          <w:sz w:val="30"/>
          <w:szCs w:val="30"/>
          <w:lang w:val="en-US"/>
        </w:rPr>
        <w:t>os</w:t>
      </w:r>
      <w:proofErr w:type="spellEnd"/>
      <w:r w:rsidR="00904BAF">
        <w:rPr>
          <w:sz w:val="30"/>
          <w:szCs w:val="30"/>
        </w:rPr>
        <w:t xml:space="preserve"> 3 раза в сутки в течение 10 дней,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либо </w:t>
      </w:r>
      <w:proofErr w:type="spellStart"/>
      <w:r>
        <w:rPr>
          <w:sz w:val="30"/>
          <w:szCs w:val="30"/>
        </w:rPr>
        <w:t>цефуроксим</w:t>
      </w:r>
      <w:proofErr w:type="spellEnd"/>
      <w:r>
        <w:rPr>
          <w:sz w:val="30"/>
          <w:szCs w:val="30"/>
        </w:rPr>
        <w:t xml:space="preserve"> внутримышечно или внутривенно по 750-1500 мг 3 раза в сутки,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либо </w:t>
      </w:r>
      <w:proofErr w:type="spellStart"/>
      <w:r>
        <w:rPr>
          <w:sz w:val="30"/>
          <w:szCs w:val="30"/>
        </w:rPr>
        <w:t>цефотаксим</w:t>
      </w:r>
      <w:proofErr w:type="spellEnd"/>
      <w:r>
        <w:rPr>
          <w:sz w:val="30"/>
          <w:szCs w:val="30"/>
        </w:rPr>
        <w:t xml:space="preserve"> внутримышечно или внутривенно по 0,5-1,0 г 2 раза в сутки,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либо </w:t>
      </w:r>
      <w:proofErr w:type="spellStart"/>
      <w:r>
        <w:rPr>
          <w:sz w:val="30"/>
          <w:szCs w:val="30"/>
        </w:rPr>
        <w:t>цефтриаксон</w:t>
      </w:r>
      <w:proofErr w:type="spellEnd"/>
      <w:r>
        <w:rPr>
          <w:sz w:val="30"/>
          <w:szCs w:val="30"/>
        </w:rPr>
        <w:t xml:space="preserve"> внутривенно по 0,5-1,0 г 2 раза в сутки.</w:t>
      </w:r>
    </w:p>
    <w:p w:rsidR="00904BAF" w:rsidRDefault="00904BAF" w:rsidP="00904BAF">
      <w:pPr>
        <w:pStyle w:val="a6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непереносимости </w:t>
      </w:r>
      <w:proofErr w:type="gramStart"/>
      <w:r>
        <w:rPr>
          <w:sz w:val="30"/>
          <w:szCs w:val="30"/>
        </w:rPr>
        <w:t>ß-</w:t>
      </w:r>
      <w:proofErr w:type="gramEnd"/>
      <w:r>
        <w:rPr>
          <w:sz w:val="30"/>
          <w:szCs w:val="30"/>
        </w:rPr>
        <w:t>лактамных антибиотиков пациентам с ПРЛ после операции на клапанах сердца необходимо назначить: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клиндамицин</w:t>
      </w:r>
      <w:proofErr w:type="spellEnd"/>
      <w:r>
        <w:rPr>
          <w:sz w:val="30"/>
          <w:szCs w:val="30"/>
        </w:rPr>
        <w:t xml:space="preserve"> по 300 мг 2 раза в сутки внутримышечно или по 150 мг 4 раза в сутки </w:t>
      </w:r>
      <w:r>
        <w:rPr>
          <w:sz w:val="30"/>
          <w:szCs w:val="30"/>
          <w:lang w:val="en-US"/>
        </w:rPr>
        <w:t>per</w:t>
      </w:r>
      <w:r w:rsidRPr="00904BA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os</w:t>
      </w:r>
      <w:proofErr w:type="spellEnd"/>
      <w:r>
        <w:rPr>
          <w:sz w:val="30"/>
          <w:szCs w:val="30"/>
        </w:rPr>
        <w:t xml:space="preserve"> в течение 10 дней,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либо </w:t>
      </w:r>
      <w:proofErr w:type="spellStart"/>
      <w:r>
        <w:rPr>
          <w:sz w:val="30"/>
          <w:szCs w:val="30"/>
        </w:rPr>
        <w:t>линкомицин</w:t>
      </w:r>
      <w:proofErr w:type="spellEnd"/>
      <w:r>
        <w:rPr>
          <w:sz w:val="30"/>
          <w:szCs w:val="30"/>
        </w:rPr>
        <w:t xml:space="preserve"> по 300 мг 2 раза в сутки внутримышечно или по 150 мг 4 раза в сутки </w:t>
      </w:r>
      <w:r>
        <w:rPr>
          <w:sz w:val="30"/>
          <w:szCs w:val="30"/>
          <w:lang w:val="en-US"/>
        </w:rPr>
        <w:t>per</w:t>
      </w:r>
      <w:r w:rsidRPr="00904BA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os</w:t>
      </w:r>
      <w:proofErr w:type="spellEnd"/>
      <w:r>
        <w:rPr>
          <w:sz w:val="30"/>
          <w:szCs w:val="30"/>
        </w:rPr>
        <w:t xml:space="preserve"> в течение 10 дней,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либо </w:t>
      </w:r>
      <w:proofErr w:type="spellStart"/>
      <w:r>
        <w:rPr>
          <w:sz w:val="30"/>
          <w:szCs w:val="30"/>
        </w:rPr>
        <w:t>азитромицин</w:t>
      </w:r>
      <w:proofErr w:type="spellEnd"/>
      <w:r>
        <w:rPr>
          <w:sz w:val="30"/>
          <w:szCs w:val="30"/>
        </w:rPr>
        <w:t xml:space="preserve"> 500 мг 1 раз в сутки в 1-й день, далее по 250 мг в течение 4-х дней,</w:t>
      </w:r>
    </w:p>
    <w:p w:rsidR="00904BAF" w:rsidRDefault="00904BAF" w:rsidP="00904BAF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либо </w:t>
      </w:r>
      <w:proofErr w:type="spellStart"/>
      <w:r>
        <w:rPr>
          <w:sz w:val="30"/>
          <w:szCs w:val="30"/>
        </w:rPr>
        <w:t>кларитромицин</w:t>
      </w:r>
      <w:proofErr w:type="spellEnd"/>
      <w:r>
        <w:rPr>
          <w:sz w:val="30"/>
          <w:szCs w:val="30"/>
        </w:rPr>
        <w:t xml:space="preserve"> по 250 мг 2 раза в сутки в течение 10 дней.</w:t>
      </w:r>
    </w:p>
    <w:p w:rsidR="002F3378" w:rsidRDefault="002F3378" w:rsidP="002F3378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курса антибиотикотерапии пациенту с </w:t>
      </w:r>
      <w:r w:rsidR="00E959DD">
        <w:rPr>
          <w:sz w:val="30"/>
          <w:szCs w:val="30"/>
        </w:rPr>
        <w:t xml:space="preserve">ХРБС </w:t>
      </w:r>
      <w:r>
        <w:rPr>
          <w:sz w:val="30"/>
          <w:szCs w:val="30"/>
        </w:rPr>
        <w:t xml:space="preserve">необходимо проводить вторичную медицинскую профилактику ревматизма: </w:t>
      </w:r>
      <w:proofErr w:type="spellStart"/>
      <w:r>
        <w:rPr>
          <w:sz w:val="30"/>
          <w:szCs w:val="30"/>
        </w:rPr>
        <w:t>бензатина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бензилпенициллин</w:t>
      </w:r>
      <w:proofErr w:type="spellEnd"/>
      <w:r>
        <w:rPr>
          <w:sz w:val="30"/>
          <w:szCs w:val="30"/>
        </w:rPr>
        <w:t xml:space="preserve">+ </w:t>
      </w:r>
      <w:proofErr w:type="spellStart"/>
      <w:r>
        <w:rPr>
          <w:sz w:val="30"/>
          <w:szCs w:val="30"/>
        </w:rPr>
        <w:t>бензилпенициллин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прокаина</w:t>
      </w:r>
      <w:proofErr w:type="spellEnd"/>
      <w:r>
        <w:rPr>
          <w:sz w:val="30"/>
          <w:szCs w:val="30"/>
        </w:rPr>
        <w:t xml:space="preserve"> (бициллин-5) 1,5 млн. </w:t>
      </w:r>
      <w:proofErr w:type="gramStart"/>
      <w:r>
        <w:rPr>
          <w:sz w:val="30"/>
          <w:szCs w:val="30"/>
        </w:rPr>
        <w:t>ЕД</w:t>
      </w:r>
      <w:proofErr w:type="gramEnd"/>
      <w:r>
        <w:rPr>
          <w:sz w:val="30"/>
          <w:szCs w:val="30"/>
        </w:rPr>
        <w:t xml:space="preserve"> внутримышечно 1 раз в 3 недели, либо </w:t>
      </w:r>
      <w:proofErr w:type="spellStart"/>
      <w:r>
        <w:rPr>
          <w:sz w:val="30"/>
          <w:szCs w:val="30"/>
        </w:rPr>
        <w:t>бензатина</w:t>
      </w:r>
      <w:proofErr w:type="spellEnd"/>
      <w:r>
        <w:rPr>
          <w:sz w:val="30"/>
          <w:szCs w:val="30"/>
        </w:rPr>
        <w:t xml:space="preserve"> пенициллин 2,4 млн ЕД внутримышечно 1 раз в 3 недели, пожизненно.</w:t>
      </w:r>
    </w:p>
    <w:p w:rsidR="00B3609F" w:rsidRDefault="00385AD1" w:rsidP="006B70BD">
      <w:pPr>
        <w:spacing w:line="360" w:lineRule="auto"/>
        <w:ind w:firstLine="709"/>
        <w:jc w:val="both"/>
        <w:rPr>
          <w:sz w:val="30"/>
          <w:szCs w:val="30"/>
        </w:rPr>
      </w:pPr>
      <w:r w:rsidRPr="00385AD1">
        <w:rPr>
          <w:b/>
          <w:sz w:val="30"/>
          <w:szCs w:val="30"/>
        </w:rPr>
        <w:t>4</w:t>
      </w:r>
      <w:r w:rsidR="00F53E88">
        <w:rPr>
          <w:b/>
          <w:sz w:val="30"/>
          <w:szCs w:val="30"/>
        </w:rPr>
        <w:t>.2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При отсутствии у пациента</w:t>
      </w:r>
      <w:r w:rsidRPr="00471169">
        <w:rPr>
          <w:sz w:val="30"/>
          <w:szCs w:val="30"/>
        </w:rPr>
        <w:t xml:space="preserve"> с ХРБС после </w:t>
      </w:r>
      <w:r>
        <w:rPr>
          <w:sz w:val="30"/>
          <w:szCs w:val="30"/>
        </w:rPr>
        <w:t>хирургической операции протезирования КС в послеоперационном периоде:</w:t>
      </w:r>
      <w:r>
        <w:rPr>
          <w:sz w:val="30"/>
          <w:szCs w:val="30"/>
          <w:lang w:eastAsia="en-US"/>
        </w:rPr>
        <w:t xml:space="preserve"> инфекционных осложнений; увеличения уровня ПСП на 7-е сутки после операции более</w:t>
      </w:r>
      <w:proofErr w:type="gramStart"/>
      <w:r>
        <w:rPr>
          <w:sz w:val="30"/>
          <w:szCs w:val="30"/>
          <w:lang w:eastAsia="en-US"/>
        </w:rPr>
        <w:t>,</w:t>
      </w:r>
      <w:proofErr w:type="gramEnd"/>
      <w:r>
        <w:rPr>
          <w:sz w:val="30"/>
          <w:szCs w:val="30"/>
          <w:lang w:eastAsia="en-US"/>
        </w:rPr>
        <w:t xml:space="preserve"> чем в 1,5 раза в сравнении с уровнем, зарегистрированным за 1 сутки до операции, при одновременном превышении им верхней границы нормы; увеличения уровня АСЛ-О на </w:t>
      </w:r>
      <w:r>
        <w:rPr>
          <w:sz w:val="30"/>
          <w:szCs w:val="30"/>
          <w:lang w:eastAsia="en-US"/>
        </w:rPr>
        <w:lastRenderedPageBreak/>
        <w:t>14-е сутки после операции выше уровня, зарегистрированного за 1 сутки до операции, с одновременным превышением им верхней границы нормы; увеличения уровня С3 компонента системы комплемента на 14-е сутки после операции выше нормы</w:t>
      </w:r>
      <w:r w:rsidR="006B70BD">
        <w:rPr>
          <w:sz w:val="30"/>
          <w:szCs w:val="30"/>
          <w:lang w:eastAsia="en-US"/>
        </w:rPr>
        <w:t xml:space="preserve"> </w:t>
      </w:r>
      <w:r w:rsidR="00E959DD">
        <w:rPr>
          <w:sz w:val="30"/>
          <w:szCs w:val="30"/>
        </w:rPr>
        <w:t>а</w:t>
      </w:r>
      <w:r w:rsidR="00B3609F">
        <w:rPr>
          <w:sz w:val="30"/>
          <w:szCs w:val="30"/>
        </w:rPr>
        <w:t xml:space="preserve">нтибактериальные </w:t>
      </w:r>
      <w:r w:rsidR="00F53E88">
        <w:rPr>
          <w:sz w:val="30"/>
          <w:szCs w:val="30"/>
        </w:rPr>
        <w:t xml:space="preserve">ЛС </w:t>
      </w:r>
      <w:r w:rsidR="00B3609F">
        <w:rPr>
          <w:sz w:val="30"/>
          <w:szCs w:val="30"/>
        </w:rPr>
        <w:t>не назначаются.</w:t>
      </w:r>
    </w:p>
    <w:p w:rsidR="00C034AA" w:rsidRDefault="00F53E88" w:rsidP="00C034AA">
      <w:pPr>
        <w:pStyle w:val="a5"/>
        <w:ind w:firstLine="720"/>
        <w:jc w:val="both"/>
        <w:rPr>
          <w:sz w:val="30"/>
          <w:szCs w:val="30"/>
        </w:rPr>
      </w:pPr>
      <w:r w:rsidRPr="00F53E88">
        <w:rPr>
          <w:b/>
          <w:sz w:val="30"/>
          <w:szCs w:val="30"/>
        </w:rPr>
        <w:t>4.3.</w:t>
      </w:r>
      <w:r>
        <w:rPr>
          <w:sz w:val="30"/>
          <w:szCs w:val="30"/>
        </w:rPr>
        <w:t xml:space="preserve"> </w:t>
      </w:r>
      <w:proofErr w:type="gramStart"/>
      <w:r w:rsidR="00C034AA">
        <w:rPr>
          <w:sz w:val="30"/>
          <w:szCs w:val="30"/>
        </w:rPr>
        <w:t xml:space="preserve">При отсутствии </w:t>
      </w:r>
      <w:r w:rsidR="008A2F3E">
        <w:rPr>
          <w:sz w:val="30"/>
          <w:szCs w:val="30"/>
        </w:rPr>
        <w:t>у пациента</w:t>
      </w:r>
      <w:r w:rsidR="008A2F3E" w:rsidRPr="00471169">
        <w:rPr>
          <w:sz w:val="30"/>
          <w:szCs w:val="30"/>
        </w:rPr>
        <w:t xml:space="preserve"> с ХРБС после </w:t>
      </w:r>
      <w:r w:rsidR="008A2F3E">
        <w:rPr>
          <w:sz w:val="30"/>
          <w:szCs w:val="30"/>
        </w:rPr>
        <w:t xml:space="preserve">хирургической операции протезирования КС в послеоперационном периоде </w:t>
      </w:r>
      <w:r w:rsidR="00C034AA">
        <w:rPr>
          <w:sz w:val="30"/>
          <w:szCs w:val="30"/>
        </w:rPr>
        <w:t xml:space="preserve">общепринятых </w:t>
      </w:r>
      <w:r w:rsidR="00385AD1">
        <w:rPr>
          <w:sz w:val="30"/>
          <w:szCs w:val="30"/>
        </w:rPr>
        <w:t>противо</w:t>
      </w:r>
      <w:r w:rsidR="00C034AA">
        <w:rPr>
          <w:sz w:val="30"/>
          <w:szCs w:val="30"/>
        </w:rPr>
        <w:t xml:space="preserve">показаний к назначению </w:t>
      </w:r>
      <w:r>
        <w:rPr>
          <w:sz w:val="30"/>
          <w:szCs w:val="30"/>
        </w:rPr>
        <w:t>оральных антикоагулянтов (</w:t>
      </w:r>
      <w:r w:rsidR="00C034AA">
        <w:rPr>
          <w:sz w:val="30"/>
          <w:szCs w:val="30"/>
        </w:rPr>
        <w:t>ОАК</w:t>
      </w:r>
      <w:r>
        <w:rPr>
          <w:sz w:val="30"/>
          <w:szCs w:val="30"/>
        </w:rPr>
        <w:t>)</w:t>
      </w:r>
      <w:r w:rsidR="00C034AA">
        <w:rPr>
          <w:sz w:val="30"/>
          <w:szCs w:val="30"/>
        </w:rPr>
        <w:t xml:space="preserve"> и уровне СРБ&lt;20,0 мг/л пациенту с ХРБС необходимо назначить </w:t>
      </w:r>
      <w:proofErr w:type="spellStart"/>
      <w:r w:rsidR="00C034AA">
        <w:rPr>
          <w:sz w:val="30"/>
          <w:szCs w:val="30"/>
        </w:rPr>
        <w:t>варфарин</w:t>
      </w:r>
      <w:proofErr w:type="spellEnd"/>
      <w:r w:rsidR="00C034AA">
        <w:rPr>
          <w:sz w:val="30"/>
          <w:szCs w:val="30"/>
        </w:rPr>
        <w:t xml:space="preserve"> по стандартной методике на фоне непрерывной терапии прямыми антикоагулянтами (</w:t>
      </w:r>
      <w:proofErr w:type="spellStart"/>
      <w:r w:rsidR="00C034AA">
        <w:rPr>
          <w:sz w:val="30"/>
          <w:szCs w:val="30"/>
        </w:rPr>
        <w:t>нефракционированным</w:t>
      </w:r>
      <w:proofErr w:type="spellEnd"/>
      <w:r w:rsidR="00C034AA">
        <w:rPr>
          <w:sz w:val="30"/>
          <w:szCs w:val="30"/>
        </w:rPr>
        <w:t xml:space="preserve"> гепарином (НФГ) или низкомолекулярными гепаринами (НМГ)) в лечебной дозе до достижения целевого </w:t>
      </w:r>
      <w:r>
        <w:rPr>
          <w:sz w:val="30"/>
          <w:szCs w:val="30"/>
        </w:rPr>
        <w:t>международного нормализованного отношения (</w:t>
      </w:r>
      <w:r w:rsidR="00C034AA">
        <w:rPr>
          <w:sz w:val="30"/>
          <w:szCs w:val="30"/>
        </w:rPr>
        <w:t>МНО</w:t>
      </w:r>
      <w:r>
        <w:rPr>
          <w:sz w:val="30"/>
          <w:szCs w:val="30"/>
        </w:rPr>
        <w:t>)</w:t>
      </w:r>
      <w:r w:rsidR="00C034AA">
        <w:rPr>
          <w:sz w:val="30"/>
          <w:szCs w:val="30"/>
        </w:rPr>
        <w:t xml:space="preserve"> в</w:t>
      </w:r>
      <w:proofErr w:type="gramEnd"/>
      <w:r w:rsidR="00C034AA">
        <w:rPr>
          <w:sz w:val="30"/>
          <w:szCs w:val="30"/>
        </w:rPr>
        <w:t xml:space="preserve"> </w:t>
      </w:r>
      <w:proofErr w:type="gramStart"/>
      <w:r w:rsidR="00C034AA">
        <w:rPr>
          <w:sz w:val="30"/>
          <w:szCs w:val="30"/>
        </w:rPr>
        <w:t>соответствии</w:t>
      </w:r>
      <w:proofErr w:type="gramEnd"/>
      <w:r w:rsidR="00C034AA">
        <w:rPr>
          <w:sz w:val="30"/>
          <w:szCs w:val="30"/>
        </w:rPr>
        <w:t xml:space="preserve"> с типом и позицией имплантированного протеза (для аортальной позиции 2,0 – 3,0, для митральной позиции 2,5 – 3,5). После достижения целевого МНО необходимо отменить прямые антикоагулянты. Пациент должен продолжить приём </w:t>
      </w:r>
      <w:proofErr w:type="spellStart"/>
      <w:r w:rsidR="00C034AA">
        <w:rPr>
          <w:sz w:val="30"/>
          <w:szCs w:val="30"/>
        </w:rPr>
        <w:t>варфарина</w:t>
      </w:r>
      <w:proofErr w:type="spellEnd"/>
      <w:r w:rsidR="00C034AA">
        <w:rPr>
          <w:sz w:val="30"/>
          <w:szCs w:val="30"/>
        </w:rPr>
        <w:t xml:space="preserve"> в подобранной дозе.</w:t>
      </w:r>
    </w:p>
    <w:p w:rsidR="00C034AA" w:rsidRDefault="00E959DD" w:rsidP="00C034AA">
      <w:pPr>
        <w:pStyle w:val="a5"/>
        <w:ind w:firstLine="720"/>
        <w:jc w:val="both"/>
        <w:rPr>
          <w:sz w:val="30"/>
          <w:szCs w:val="30"/>
        </w:rPr>
      </w:pPr>
      <w:r w:rsidRPr="00E959DD">
        <w:rPr>
          <w:b/>
          <w:sz w:val="30"/>
          <w:szCs w:val="30"/>
        </w:rPr>
        <w:t>4.4.</w:t>
      </w:r>
      <w:r>
        <w:rPr>
          <w:sz w:val="30"/>
          <w:szCs w:val="30"/>
        </w:rPr>
        <w:t xml:space="preserve"> </w:t>
      </w:r>
      <w:r w:rsidR="00C034AA">
        <w:rPr>
          <w:sz w:val="30"/>
          <w:szCs w:val="30"/>
        </w:rPr>
        <w:t xml:space="preserve">При наличии </w:t>
      </w:r>
      <w:r w:rsidR="008A2F3E">
        <w:rPr>
          <w:sz w:val="30"/>
          <w:szCs w:val="30"/>
        </w:rPr>
        <w:t>у пациента</w:t>
      </w:r>
      <w:r w:rsidR="008A2F3E" w:rsidRPr="00471169">
        <w:rPr>
          <w:sz w:val="30"/>
          <w:szCs w:val="30"/>
        </w:rPr>
        <w:t xml:space="preserve"> с ХРБС после </w:t>
      </w:r>
      <w:r w:rsidR="008A2F3E">
        <w:rPr>
          <w:sz w:val="30"/>
          <w:szCs w:val="30"/>
        </w:rPr>
        <w:t xml:space="preserve">хирургической операции протезирования КС в послеоперационном периоде </w:t>
      </w:r>
      <w:r w:rsidR="00C034AA">
        <w:rPr>
          <w:sz w:val="30"/>
          <w:szCs w:val="30"/>
        </w:rPr>
        <w:t xml:space="preserve">общепринятых противопоказаний </w:t>
      </w:r>
      <w:r>
        <w:rPr>
          <w:sz w:val="30"/>
          <w:szCs w:val="30"/>
        </w:rPr>
        <w:t xml:space="preserve">к назначению ОАК </w:t>
      </w:r>
      <w:r w:rsidR="00C034AA">
        <w:rPr>
          <w:sz w:val="30"/>
          <w:szCs w:val="30"/>
        </w:rPr>
        <w:t xml:space="preserve">и уровне СРБ в сыворотке крови ≥ 20,0 мг/л </w:t>
      </w:r>
      <w:proofErr w:type="spellStart"/>
      <w:r w:rsidR="00C034AA">
        <w:rPr>
          <w:sz w:val="30"/>
          <w:szCs w:val="30"/>
        </w:rPr>
        <w:t>варфарин</w:t>
      </w:r>
      <w:proofErr w:type="spellEnd"/>
      <w:r w:rsidR="00C034AA">
        <w:rPr>
          <w:sz w:val="30"/>
          <w:szCs w:val="30"/>
        </w:rPr>
        <w:t xml:space="preserve"> пациенту не назначается, с целью профилактики тромбозов/тромбоэмболий необходимо назначить НФГ или НМГ в лечебных дозах. При наличии геморрагического синдрома </w:t>
      </w:r>
      <w:proofErr w:type="spellStart"/>
      <w:r w:rsidR="00C034AA">
        <w:rPr>
          <w:sz w:val="30"/>
          <w:szCs w:val="30"/>
        </w:rPr>
        <w:t>варфарин</w:t>
      </w:r>
      <w:proofErr w:type="spellEnd"/>
      <w:r w:rsidR="00C034AA">
        <w:rPr>
          <w:sz w:val="30"/>
          <w:szCs w:val="30"/>
        </w:rPr>
        <w:t xml:space="preserve"> не назначается, вопрос о возможности проведения </w:t>
      </w:r>
      <w:proofErr w:type="spellStart"/>
      <w:r w:rsidR="00C034AA">
        <w:rPr>
          <w:sz w:val="30"/>
          <w:szCs w:val="30"/>
        </w:rPr>
        <w:t>антикоагулянтной</w:t>
      </w:r>
      <w:proofErr w:type="spellEnd"/>
      <w:r w:rsidR="00C034AA">
        <w:rPr>
          <w:sz w:val="30"/>
          <w:szCs w:val="30"/>
        </w:rPr>
        <w:t xml:space="preserve"> терапии прямыми антикоагулянтами решается индивидуально.</w:t>
      </w:r>
    </w:p>
    <w:p w:rsidR="00B3609F" w:rsidRDefault="00B3609F" w:rsidP="00C034AA">
      <w:pPr>
        <w:pStyle w:val="a5"/>
        <w:ind w:firstLine="720"/>
        <w:jc w:val="both"/>
        <w:rPr>
          <w:sz w:val="30"/>
          <w:szCs w:val="30"/>
        </w:rPr>
      </w:pPr>
    </w:p>
    <w:p w:rsidR="00904BAF" w:rsidRDefault="00904BAF" w:rsidP="00904BAF">
      <w:pPr>
        <w:pStyle w:val="a5"/>
        <w:numPr>
          <w:ilvl w:val="0"/>
          <w:numId w:val="3"/>
        </w:numPr>
        <w:ind w:left="0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ПЕРЕЧЕНЬ ВОЗМОЖНЫХ ОСЛОЖНЕНИЙ </w:t>
      </w:r>
      <w:r>
        <w:rPr>
          <w:b/>
          <w:bCs/>
          <w:color w:val="000000"/>
          <w:sz w:val="30"/>
          <w:szCs w:val="30"/>
        </w:rPr>
        <w:t xml:space="preserve">ИЛИ ОШИБОК </w:t>
      </w:r>
      <w:r>
        <w:rPr>
          <w:b/>
          <w:sz w:val="30"/>
          <w:szCs w:val="30"/>
        </w:rPr>
        <w:t>И ПУТИ ИХ УСТРАНЕНИЯ</w:t>
      </w:r>
    </w:p>
    <w:p w:rsidR="00904BAF" w:rsidRDefault="00904BAF" w:rsidP="00904BAF">
      <w:pPr>
        <w:pStyle w:val="a5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Нет.</w:t>
      </w:r>
    </w:p>
    <w:p w:rsidR="00E426D3" w:rsidRDefault="005C331F"/>
    <w:sectPr w:rsidR="00E426D3" w:rsidSect="0037471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1F" w:rsidRDefault="005C331F" w:rsidP="001C41C8">
      <w:r>
        <w:separator/>
      </w:r>
    </w:p>
  </w:endnote>
  <w:endnote w:type="continuationSeparator" w:id="0">
    <w:p w:rsidR="005C331F" w:rsidRDefault="005C331F" w:rsidP="001C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05484"/>
      <w:docPartObj>
        <w:docPartGallery w:val="Page Numbers (Bottom of Page)"/>
        <w:docPartUnique/>
      </w:docPartObj>
    </w:sdtPr>
    <w:sdtEndPr/>
    <w:sdtContent>
      <w:p w:rsidR="001C41C8" w:rsidRDefault="00374712">
        <w:pPr>
          <w:pStyle w:val="a9"/>
          <w:jc w:val="center"/>
        </w:pPr>
        <w:r>
          <w:fldChar w:fldCharType="begin"/>
        </w:r>
        <w:r w:rsidR="001C41C8">
          <w:instrText>PAGE   \* MERGEFORMAT</w:instrText>
        </w:r>
        <w:r>
          <w:fldChar w:fldCharType="separate"/>
        </w:r>
        <w:r w:rsidR="000E668B">
          <w:rPr>
            <w:noProof/>
          </w:rPr>
          <w:t>2</w:t>
        </w:r>
        <w:r>
          <w:fldChar w:fldCharType="end"/>
        </w:r>
      </w:p>
    </w:sdtContent>
  </w:sdt>
  <w:p w:rsidR="001C41C8" w:rsidRDefault="001C41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1F" w:rsidRDefault="005C331F" w:rsidP="001C41C8">
      <w:r>
        <w:separator/>
      </w:r>
    </w:p>
  </w:footnote>
  <w:footnote w:type="continuationSeparator" w:id="0">
    <w:p w:rsidR="005C331F" w:rsidRDefault="005C331F" w:rsidP="001C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5CAC"/>
    <w:multiLevelType w:val="multilevel"/>
    <w:tmpl w:val="9DAA1A9E"/>
    <w:lvl w:ilvl="0">
      <w:start w:val="5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3000" w:hanging="1560"/>
      </w:pPr>
    </w:lvl>
    <w:lvl w:ilvl="2">
      <w:start w:val="1"/>
      <w:numFmt w:val="decimal"/>
      <w:isLgl/>
      <w:lvlText w:val="%1.%2.%3"/>
      <w:lvlJc w:val="left"/>
      <w:pPr>
        <w:ind w:left="3000" w:hanging="1560"/>
      </w:pPr>
    </w:lvl>
    <w:lvl w:ilvl="3">
      <w:start w:val="1"/>
      <w:numFmt w:val="decimal"/>
      <w:isLgl/>
      <w:lvlText w:val="%1.%2.%3.%4"/>
      <w:lvlJc w:val="left"/>
      <w:pPr>
        <w:ind w:left="3000" w:hanging="1560"/>
      </w:pPr>
    </w:lvl>
    <w:lvl w:ilvl="4">
      <w:start w:val="1"/>
      <w:numFmt w:val="decimal"/>
      <w:isLgl/>
      <w:lvlText w:val="%1.%2.%3.%4.%5"/>
      <w:lvlJc w:val="left"/>
      <w:pPr>
        <w:ind w:left="3000" w:hanging="1560"/>
      </w:pPr>
    </w:lvl>
    <w:lvl w:ilvl="5">
      <w:start w:val="1"/>
      <w:numFmt w:val="decimal"/>
      <w:isLgl/>
      <w:lvlText w:val="%1.%2.%3.%4.%5.%6"/>
      <w:lvlJc w:val="left"/>
      <w:pPr>
        <w:ind w:left="3000" w:hanging="1560"/>
      </w:pPr>
    </w:lvl>
    <w:lvl w:ilvl="6">
      <w:start w:val="1"/>
      <w:numFmt w:val="decimal"/>
      <w:isLgl/>
      <w:lvlText w:val="%1.%2.%3.%4.%5.%6.%7"/>
      <w:lvlJc w:val="left"/>
      <w:pPr>
        <w:ind w:left="3240" w:hanging="1800"/>
      </w:p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</w:lvl>
  </w:abstractNum>
  <w:abstractNum w:abstractNumId="1">
    <w:nsid w:val="547B4B8D"/>
    <w:multiLevelType w:val="hybridMultilevel"/>
    <w:tmpl w:val="7744DA12"/>
    <w:lvl w:ilvl="0" w:tplc="A600C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3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3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3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30F52DE"/>
    <w:multiLevelType w:val="hybridMultilevel"/>
    <w:tmpl w:val="0590AC1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402"/>
    <w:rsid w:val="000E668B"/>
    <w:rsid w:val="000F41D2"/>
    <w:rsid w:val="001C41C8"/>
    <w:rsid w:val="002F3378"/>
    <w:rsid w:val="002F6DBB"/>
    <w:rsid w:val="00374712"/>
    <w:rsid w:val="00385AD1"/>
    <w:rsid w:val="003A6EF4"/>
    <w:rsid w:val="00471169"/>
    <w:rsid w:val="00490402"/>
    <w:rsid w:val="004C2A86"/>
    <w:rsid w:val="005379CF"/>
    <w:rsid w:val="005C331F"/>
    <w:rsid w:val="005F56CA"/>
    <w:rsid w:val="006B70BD"/>
    <w:rsid w:val="0089008D"/>
    <w:rsid w:val="008A2F3E"/>
    <w:rsid w:val="00904BAF"/>
    <w:rsid w:val="00990163"/>
    <w:rsid w:val="00B3609F"/>
    <w:rsid w:val="00C034AA"/>
    <w:rsid w:val="00E959DD"/>
    <w:rsid w:val="00EA1BCE"/>
    <w:rsid w:val="00EE5412"/>
    <w:rsid w:val="00F35E0E"/>
    <w:rsid w:val="00F5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04BAF"/>
    <w:pPr>
      <w:keepNext/>
      <w:widowControl w:val="0"/>
      <w:spacing w:line="288" w:lineRule="auto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04B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04B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Название Знак"/>
    <w:aliases w:val="Название Знак Знак Знак,Title Char Знак Знак Знак,Title Char Знак1 Знак"/>
    <w:basedOn w:val="a0"/>
    <w:link w:val="a5"/>
    <w:locked/>
    <w:rsid w:val="00904B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aliases w:val="Название Знак Знак,Title Char Знак Знак,Title Char Знак1"/>
    <w:basedOn w:val="a"/>
    <w:link w:val="a4"/>
    <w:qFormat/>
    <w:rsid w:val="00904BAF"/>
    <w:pPr>
      <w:spacing w:line="360" w:lineRule="auto"/>
      <w:jc w:val="center"/>
    </w:pPr>
    <w:rPr>
      <w:rFonts w:eastAsia="Times New Roman"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904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904BAF"/>
    <w:pPr>
      <w:ind w:left="708"/>
    </w:pPr>
  </w:style>
  <w:style w:type="paragraph" w:styleId="a7">
    <w:name w:val="header"/>
    <w:basedOn w:val="a"/>
    <w:link w:val="a8"/>
    <w:uiPriority w:val="99"/>
    <w:unhideWhenUsed/>
    <w:rsid w:val="001C4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1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4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1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4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1C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04BAF"/>
    <w:pPr>
      <w:keepNext/>
      <w:widowControl w:val="0"/>
      <w:spacing w:line="288" w:lineRule="auto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04B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04B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Название Знак"/>
    <w:aliases w:val="Название Знак Знак Знак,Title Char Знак Знак Знак,Title Char Знак1 Знак"/>
    <w:basedOn w:val="a0"/>
    <w:link w:val="a5"/>
    <w:locked/>
    <w:rsid w:val="00904B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aliases w:val="Название Знак Знак,Title Char Знак Знак,Title Char Знак1"/>
    <w:basedOn w:val="a"/>
    <w:link w:val="a4"/>
    <w:qFormat/>
    <w:rsid w:val="00904BAF"/>
    <w:pPr>
      <w:spacing w:line="360" w:lineRule="auto"/>
      <w:jc w:val="center"/>
    </w:pPr>
    <w:rPr>
      <w:rFonts w:eastAsia="Times New Roman"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904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904BAF"/>
    <w:pPr>
      <w:ind w:left="708"/>
    </w:pPr>
  </w:style>
  <w:style w:type="paragraph" w:styleId="a7">
    <w:name w:val="header"/>
    <w:basedOn w:val="a"/>
    <w:link w:val="a8"/>
    <w:uiPriority w:val="99"/>
    <w:unhideWhenUsed/>
    <w:rsid w:val="001C4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1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4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1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4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1C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F803-D802-4A11-A221-B0EFA7BF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2016-10-13T07:47:00Z</cp:lastPrinted>
  <dcterms:created xsi:type="dcterms:W3CDTF">2016-09-28T11:37:00Z</dcterms:created>
  <dcterms:modified xsi:type="dcterms:W3CDTF">2016-11-02T08:15:00Z</dcterms:modified>
</cp:coreProperties>
</file>